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026/2008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Assunção.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Assunção.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 disciplinam o Ensino Fundamental de 8 (oito) anos e o Ensino Fundamental de 9 (nove) anos, com organização curricular por séries e anos.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Educação, setor de legislação, que nomeia os representantes das EMEFs, EMEIs e SMEd  para a Comissão de Análise.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10 de novembro de 2008.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